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Minnesota Mineral Club</w:t>
      </w:r>
    </w:p>
    <w:p w:rsidR="00000000" w:rsidDel="00000000" w:rsidP="00000000" w:rsidRDefault="00000000" w:rsidRPr="00000000" w14:paraId="00000002">
      <w:pPr>
        <w:rPr>
          <w:b w:val="1"/>
          <w:bCs w:val="1"/>
        </w:rPr>
      </w:pPr>
      <w:r w:rsidDel="00000000" w:rsidR="00000000" w:rsidRPr="00000000">
        <w:rPr>
          <w:b w:val="1"/>
          <w:bCs w:val="1"/>
          <w:rtl w:val="0"/>
        </w:rPr>
        <w:t xml:space="preserve">Expense Reimbursement Policy</w:t>
        <w:br w:type="textWrapping"/>
        <w:t xml:space="preserve">Adopted January 2026</w:t>
      </w:r>
    </w:p>
    <w:p w:rsidR="00000000" w:rsidDel="00000000" w:rsidP="00000000" w:rsidRDefault="00000000" w:rsidRPr="00000000" w14:paraId="00000003">
      <w:pPr>
        <w:rPr/>
      </w:pPr>
      <w:r w:rsidDel="00000000" w:rsidR="00000000" w:rsidRPr="00000000">
        <w:rPr>
          <w:rtl w:val="0"/>
        </w:rPr>
        <w:t xml:space="preserve">To ensure responsible financial stewardship, transparency, and compliance with applicable regulations, the following policy governs all expense reimbursement requests for the Minnesota Mineral Club (MMC). This policy is intended to align with and support the MMC Bylaws and standard operating procedures.</w:t>
      </w:r>
    </w:p>
    <w:p w:rsidR="00000000" w:rsidDel="00000000" w:rsidP="00000000" w:rsidRDefault="00000000" w:rsidRPr="00000000" w14:paraId="00000004">
      <w:pPr>
        <w:rPr>
          <w:b w:val="1"/>
          <w:bCs w:val="1"/>
        </w:rPr>
      </w:pPr>
      <w:r w:rsidDel="00000000" w:rsidR="00000000" w:rsidRPr="00000000">
        <w:rPr>
          <w:b w:val="1"/>
          <w:bCs w:val="1"/>
          <w:rtl w:val="0"/>
        </w:rPr>
        <w:t xml:space="preserve">1. Budget Approval</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Expenses that are </w:t>
      </w:r>
      <w:r w:rsidDel="00000000" w:rsidR="00000000" w:rsidRPr="00000000">
        <w:rPr>
          <w:b w:val="1"/>
          <w:bCs w:val="1"/>
          <w:rtl w:val="0"/>
        </w:rPr>
        <w:t xml:space="preserve">included in the Board-approved annual budget</w:t>
      </w:r>
      <w:r w:rsidDel="00000000" w:rsidR="00000000" w:rsidRPr="00000000">
        <w:rPr>
          <w:rtl w:val="0"/>
        </w:rPr>
        <w:t xml:space="preserve"> may be submitted for reimbursement.</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Expenses </w:t>
      </w:r>
      <w:r w:rsidDel="00000000" w:rsidR="00000000" w:rsidRPr="00000000">
        <w:rPr>
          <w:b w:val="1"/>
          <w:bCs w:val="1"/>
          <w:rtl w:val="0"/>
        </w:rPr>
        <w:t xml:space="preserve">not included in the approved annual budget</w:t>
      </w:r>
      <w:r w:rsidDel="00000000" w:rsidR="00000000" w:rsidRPr="00000000">
        <w:rPr>
          <w:rtl w:val="0"/>
        </w:rPr>
        <w:t xml:space="preserve"> must receive </w:t>
      </w:r>
      <w:r w:rsidDel="00000000" w:rsidR="00000000" w:rsidRPr="00000000">
        <w:rPr>
          <w:b w:val="1"/>
          <w:bCs w:val="1"/>
          <w:rtl w:val="0"/>
        </w:rPr>
        <w:t xml:space="preserve">prior approval from the Board of Directors (BOD)</w:t>
      </w:r>
      <w:r w:rsidDel="00000000" w:rsidR="00000000" w:rsidRPr="00000000">
        <w:rPr>
          <w:rtl w:val="0"/>
        </w:rPr>
        <w:t xml:space="preserve"> before reimbursement will be considered.</w:t>
      </w:r>
    </w:p>
    <w:p w:rsidR="00000000" w:rsidDel="00000000" w:rsidP="00000000" w:rsidRDefault="00000000" w:rsidRPr="00000000" w14:paraId="00000007">
      <w:pPr>
        <w:rPr>
          <w:b w:val="1"/>
          <w:bCs w:val="1"/>
        </w:rPr>
      </w:pPr>
      <w:r w:rsidDel="00000000" w:rsidR="00000000" w:rsidRPr="00000000">
        <w:rPr>
          <w:b w:val="1"/>
          <w:bCs w:val="1"/>
          <w:rtl w:val="0"/>
        </w:rPr>
        <w:t xml:space="preserve">2. Required Documentation</w:t>
      </w:r>
    </w:p>
    <w:p w:rsidR="00000000" w:rsidDel="00000000" w:rsidP="00000000" w:rsidRDefault="00000000" w:rsidRPr="00000000" w14:paraId="00000008">
      <w:pPr>
        <w:numPr>
          <w:ilvl w:val="0"/>
          <w:numId w:val="2"/>
        </w:numPr>
        <w:ind w:left="720" w:hanging="360"/>
        <w:rPr/>
      </w:pPr>
      <w:r w:rsidDel="00000000" w:rsidR="00000000" w:rsidRPr="00000000">
        <w:rPr>
          <w:rtl w:val="0"/>
        </w:rPr>
        <w:t xml:space="preserve">All reimbursement requests </w:t>
      </w:r>
      <w:r w:rsidDel="00000000" w:rsidR="00000000" w:rsidRPr="00000000">
        <w:rPr>
          <w:b w:val="1"/>
          <w:bCs w:val="1"/>
          <w:rtl w:val="0"/>
        </w:rPr>
        <w:t xml:space="preserve">must be accompanied by original, itemized receipts</w:t>
      </w:r>
      <w:r w:rsidDel="00000000" w:rsidR="00000000" w:rsidRPr="00000000">
        <w:rPr>
          <w:rtl w:val="0"/>
        </w:rPr>
        <w:t xml:space="preserve"> that clearly show the date, vendor, amount, and business purpose of the expense.</w:t>
      </w:r>
    </w:p>
    <w:p w:rsidR="00000000" w:rsidDel="00000000" w:rsidP="00000000" w:rsidRDefault="00000000" w:rsidRPr="00000000" w14:paraId="00000009">
      <w:pPr>
        <w:numPr>
          <w:ilvl w:val="0"/>
          <w:numId w:val="2"/>
        </w:numPr>
        <w:ind w:left="720" w:hanging="360"/>
        <w:rPr/>
      </w:pPr>
      <w:r w:rsidDel="00000000" w:rsidR="00000000" w:rsidRPr="00000000">
        <w:rPr>
          <w:b w:val="1"/>
          <w:bCs w:val="1"/>
          <w:rtl w:val="0"/>
        </w:rPr>
        <w:t xml:space="preserve">Receipts must be submitted digitally</w:t>
      </w:r>
      <w:r w:rsidDel="00000000" w:rsidR="00000000" w:rsidRPr="00000000">
        <w:rPr>
          <w:rtl w:val="0"/>
        </w:rPr>
        <w:t xml:space="preserve"> (e.g., scanned copy, PDF, or clear photograph). </w:t>
      </w:r>
      <w:r w:rsidDel="00000000" w:rsidR="00000000" w:rsidRPr="00000000">
        <w:rPr>
          <w:b w:val="1"/>
          <w:bCs w:val="1"/>
          <w:rtl w:val="0"/>
        </w:rPr>
        <w:t xml:space="preserve">Paper receipts will not be accepted. Illegible receipts will not be accepted. All receipts must be emailed to treasurer@minnesotamineralclub.org</w:t>
      </w:r>
      <w:r w:rsidDel="00000000" w:rsidR="00000000" w:rsidRPr="00000000">
        <w:rPr>
          <w:rtl w:val="0"/>
        </w:rPr>
      </w:r>
    </w:p>
    <w:p w:rsidR="00000000" w:rsidDel="00000000" w:rsidP="00000000" w:rsidRDefault="00000000" w:rsidRPr="00000000" w14:paraId="0000000A">
      <w:pPr>
        <w:numPr>
          <w:ilvl w:val="0"/>
          <w:numId w:val="2"/>
        </w:numPr>
        <w:ind w:left="720" w:hanging="360"/>
        <w:rPr/>
      </w:pPr>
      <w:r w:rsidDel="00000000" w:rsidR="00000000" w:rsidRPr="00000000">
        <w:rPr>
          <w:b w:val="1"/>
          <w:bCs w:val="1"/>
          <w:rtl w:val="0"/>
        </w:rPr>
        <w:t xml:space="preserve">Only original receipts issued by the vendor are acceptable.</w:t>
      </w:r>
      <w:r w:rsidDel="00000000" w:rsidR="00000000" w:rsidRPr="00000000">
        <w:rPr>
          <w:rtl w:val="0"/>
        </w:rPr>
        <w:t xml:space="preserve"> Handwritten, altered, or self-generated receipts will not be accepted.</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Requests submitted without proper documentation will not be reimbursed.</w:t>
      </w:r>
    </w:p>
    <w:p w:rsidR="00000000" w:rsidDel="00000000" w:rsidP="00000000" w:rsidRDefault="00000000" w:rsidRPr="00000000" w14:paraId="0000000C">
      <w:pPr>
        <w:rPr>
          <w:b w:val="1"/>
          <w:bCs w:val="1"/>
        </w:rPr>
      </w:pPr>
      <w:r w:rsidDel="00000000" w:rsidR="00000000" w:rsidRPr="00000000">
        <w:rPr>
          <w:b w:val="1"/>
          <w:bCs w:val="1"/>
          <w:rtl w:val="0"/>
        </w:rPr>
        <w:t xml:space="preserve">3. Submission Timeline</w:t>
      </w:r>
    </w:p>
    <w:p w:rsidR="00000000" w:rsidDel="00000000" w:rsidP="00000000" w:rsidRDefault="00000000" w:rsidRPr="00000000" w14:paraId="0000000D">
      <w:pPr>
        <w:numPr>
          <w:ilvl w:val="0"/>
          <w:numId w:val="3"/>
        </w:numPr>
        <w:ind w:left="720" w:hanging="360"/>
        <w:rPr/>
      </w:pPr>
      <w:r w:rsidDel="00000000" w:rsidR="00000000" w:rsidRPr="00000000">
        <w:rPr>
          <w:rtl w:val="0"/>
        </w:rPr>
        <w:t xml:space="preserve">Reimbursement requests must be </w:t>
      </w:r>
      <w:r w:rsidDel="00000000" w:rsidR="00000000" w:rsidRPr="00000000">
        <w:rPr>
          <w:b w:val="1"/>
          <w:bCs w:val="1"/>
          <w:rtl w:val="0"/>
        </w:rPr>
        <w:t xml:space="preserve">submitted within 30 days</w:t>
      </w:r>
      <w:r w:rsidDel="00000000" w:rsidR="00000000" w:rsidRPr="00000000">
        <w:rPr>
          <w:rtl w:val="0"/>
        </w:rPr>
        <w:t xml:space="preserve"> of the expense date on the receipt.</w:t>
      </w:r>
    </w:p>
    <w:p w:rsidR="00000000" w:rsidDel="00000000" w:rsidP="00000000" w:rsidRDefault="00000000" w:rsidRPr="00000000" w14:paraId="0000000E">
      <w:pPr>
        <w:numPr>
          <w:ilvl w:val="0"/>
          <w:numId w:val="3"/>
        </w:numPr>
        <w:ind w:left="720" w:hanging="360"/>
        <w:rPr/>
      </w:pPr>
      <w:r w:rsidDel="00000000" w:rsidR="00000000" w:rsidRPr="00000000">
        <w:rPr>
          <w:rtl w:val="0"/>
        </w:rPr>
        <w:t xml:space="preserve">Requests submitted after 30 days will be denied.</w:t>
      </w:r>
    </w:p>
    <w:p w:rsidR="00000000" w:rsidDel="00000000" w:rsidP="00000000" w:rsidRDefault="00000000" w:rsidRPr="00000000" w14:paraId="0000000F">
      <w:pPr>
        <w:rPr>
          <w:b w:val="1"/>
          <w:bCs w:val="1"/>
        </w:rPr>
      </w:pPr>
      <w:r w:rsidDel="00000000" w:rsidR="00000000" w:rsidRPr="00000000">
        <w:rPr>
          <w:b w:val="1"/>
          <w:bCs w:val="1"/>
          <w:rtl w:val="0"/>
        </w:rPr>
        <w:t xml:space="preserve">4. Payment Method &amp; Check Cashing Requirement</w:t>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Approved reimbursements will be issued </w:t>
      </w:r>
      <w:r w:rsidDel="00000000" w:rsidR="00000000" w:rsidRPr="00000000">
        <w:rPr>
          <w:b w:val="1"/>
          <w:bCs w:val="1"/>
          <w:rtl w:val="0"/>
        </w:rPr>
        <w:t xml:space="preserve">via Wells Fargo Bill Pay</w:t>
      </w:r>
      <w:r w:rsidDel="00000000" w:rsidR="00000000" w:rsidRPr="00000000">
        <w:rPr>
          <w:rtl w:val="0"/>
        </w:rPr>
        <w:t xml:space="preserve">.</w:t>
      </w:r>
    </w:p>
    <w:p w:rsidR="00000000" w:rsidDel="00000000" w:rsidP="00000000" w:rsidRDefault="00000000" w:rsidRPr="00000000" w14:paraId="00000011">
      <w:pPr>
        <w:numPr>
          <w:ilvl w:val="0"/>
          <w:numId w:val="4"/>
        </w:numPr>
        <w:ind w:left="720" w:hanging="360"/>
        <w:rPr/>
      </w:pPr>
      <w:r w:rsidDel="00000000" w:rsidR="00000000" w:rsidRPr="00000000">
        <w:rPr>
          <w:rtl w:val="0"/>
        </w:rPr>
        <w:t xml:space="preserve">Checks are mailed by the bank and </w:t>
      </w:r>
      <w:r w:rsidDel="00000000" w:rsidR="00000000" w:rsidRPr="00000000">
        <w:rPr>
          <w:b w:val="1"/>
          <w:bCs w:val="1"/>
          <w:rtl w:val="0"/>
        </w:rPr>
        <w:t xml:space="preserve">generally arrive within approximately seven (7-10) days of the issue date</w:t>
      </w:r>
      <w:r w:rsidDel="00000000" w:rsidR="00000000" w:rsidRPr="00000000">
        <w:rPr>
          <w:rtl w:val="0"/>
        </w:rPr>
        <w:t xml:space="preserve">.</w:t>
      </w:r>
    </w:p>
    <w:p w:rsidR="00000000" w:rsidDel="00000000" w:rsidP="00000000" w:rsidRDefault="00000000" w:rsidRPr="00000000" w14:paraId="00000012">
      <w:pPr>
        <w:numPr>
          <w:ilvl w:val="0"/>
          <w:numId w:val="4"/>
        </w:numPr>
        <w:ind w:left="720" w:hanging="360"/>
        <w:rPr/>
      </w:pPr>
      <w:r w:rsidDel="00000000" w:rsidR="00000000" w:rsidRPr="00000000">
        <w:rPr>
          <w:rtl w:val="0"/>
        </w:rPr>
        <w:t xml:space="preserve">All reimbursement checks </w:t>
      </w:r>
      <w:r w:rsidDel="00000000" w:rsidR="00000000" w:rsidRPr="00000000">
        <w:rPr>
          <w:b w:val="1"/>
          <w:bCs w:val="1"/>
          <w:rtl w:val="0"/>
        </w:rPr>
        <w:t xml:space="preserve">must be cashed or deposited within 30 days of the issue date</w:t>
      </w:r>
      <w:r w:rsidDel="00000000" w:rsidR="00000000" w:rsidRPr="00000000">
        <w:rPr>
          <w:rtl w:val="0"/>
        </w:rPr>
        <w:t xml:space="preserve">.</w:t>
      </w:r>
    </w:p>
    <w:p w:rsidR="00000000" w:rsidDel="00000000" w:rsidP="00000000" w:rsidRDefault="00000000" w:rsidRPr="00000000" w14:paraId="00000013">
      <w:pPr>
        <w:numPr>
          <w:ilvl w:val="0"/>
          <w:numId w:val="4"/>
        </w:numPr>
        <w:ind w:left="720" w:hanging="360"/>
        <w:rPr/>
      </w:pPr>
      <w:r w:rsidDel="00000000" w:rsidR="00000000" w:rsidRPr="00000000">
        <w:rPr>
          <w:rtl w:val="0"/>
        </w:rPr>
        <w:t xml:space="preserve">Checks not cashed within this timeframe </w:t>
      </w:r>
      <w:r w:rsidDel="00000000" w:rsidR="00000000" w:rsidRPr="00000000">
        <w:rPr>
          <w:b w:val="1"/>
          <w:bCs w:val="1"/>
          <w:rtl w:val="0"/>
        </w:rPr>
        <w:t xml:space="preserve">will be voided or canceled</w:t>
      </w:r>
      <w:r w:rsidDel="00000000" w:rsidR="00000000" w:rsidRPr="00000000">
        <w:rPr>
          <w:rtl w:val="0"/>
        </w:rPr>
        <w:t xml:space="preserve">.</w:t>
      </w:r>
    </w:p>
    <w:p w:rsidR="00000000" w:rsidDel="00000000" w:rsidP="00000000" w:rsidRDefault="00000000" w:rsidRPr="00000000" w14:paraId="00000014">
      <w:pPr>
        <w:rPr>
          <w:b w:val="1"/>
          <w:bCs w:val="1"/>
        </w:rPr>
      </w:pPr>
      <w:r w:rsidDel="00000000" w:rsidR="00000000" w:rsidRPr="00000000">
        <w:rPr>
          <w:b w:val="1"/>
          <w:bCs w:val="1"/>
          <w:rtl w:val="0"/>
        </w:rPr>
        <w:t xml:space="preserve">5. Unclaimed Reimbursements &amp; Donation Treatment</w:t>
      </w:r>
    </w:p>
    <w:p w:rsidR="00000000" w:rsidDel="00000000" w:rsidP="00000000" w:rsidRDefault="00000000" w:rsidRPr="00000000" w14:paraId="00000015">
      <w:pPr>
        <w:numPr>
          <w:ilvl w:val="0"/>
          <w:numId w:val="5"/>
        </w:numPr>
        <w:ind w:left="720" w:hanging="360"/>
        <w:rPr/>
      </w:pPr>
      <w:r w:rsidDel="00000000" w:rsidR="00000000" w:rsidRPr="00000000">
        <w:rPr>
          <w:rtl w:val="0"/>
        </w:rPr>
        <w:t xml:space="preserve">Expenses </w:t>
      </w:r>
      <w:r w:rsidDel="00000000" w:rsidR="00000000" w:rsidRPr="00000000">
        <w:rPr>
          <w:b w:val="1"/>
          <w:bCs w:val="1"/>
          <w:rtl w:val="0"/>
        </w:rPr>
        <w:t xml:space="preserve">not submitted for reimbursement within the required timeframe</w:t>
      </w:r>
      <w:r w:rsidDel="00000000" w:rsidR="00000000" w:rsidRPr="00000000">
        <w:rPr>
          <w:rtl w:val="0"/>
        </w:rPr>
        <w:t xml:space="preserve">, as well as </w:t>
      </w:r>
      <w:r w:rsidDel="00000000" w:rsidR="00000000" w:rsidRPr="00000000">
        <w:rPr>
          <w:b w:val="1"/>
          <w:bCs w:val="1"/>
          <w:rtl w:val="0"/>
        </w:rPr>
        <w:t xml:space="preserve">reimbursement checks not cashed within 30 days of issuance</w:t>
      </w:r>
      <w:r w:rsidDel="00000000" w:rsidR="00000000" w:rsidRPr="00000000">
        <w:rPr>
          <w:rtl w:val="0"/>
        </w:rPr>
        <w:t xml:space="preserve">, will be considered </w:t>
      </w:r>
      <w:r w:rsidDel="00000000" w:rsidR="00000000" w:rsidRPr="00000000">
        <w:rPr>
          <w:b w:val="1"/>
          <w:bCs w:val="1"/>
          <w:rtl w:val="0"/>
        </w:rPr>
        <w:t xml:space="preserve">voluntary donations to the Minnesota Mineral Club</w:t>
      </w:r>
      <w:r w:rsidDel="00000000" w:rsidR="00000000" w:rsidRPr="00000000">
        <w:rPr>
          <w:rtl w:val="0"/>
        </w:rPr>
        <w:t xml:space="preserve">.</w:t>
      </w:r>
    </w:p>
    <w:p w:rsidR="00000000" w:rsidDel="00000000" w:rsidP="00000000" w:rsidRDefault="00000000" w:rsidRPr="00000000" w14:paraId="00000016">
      <w:pPr>
        <w:numPr>
          <w:ilvl w:val="0"/>
          <w:numId w:val="5"/>
        </w:numPr>
        <w:ind w:left="720" w:hanging="360"/>
        <w:rPr/>
      </w:pPr>
      <w:r w:rsidDel="00000000" w:rsidR="00000000" w:rsidRPr="00000000">
        <w:rPr>
          <w:rtl w:val="0"/>
        </w:rPr>
        <w:t xml:space="preserve">By not submitting or cashing reimbursement within the required timeframe, the individual acknowledges that the MMC assumes no further reimbursement obligation.</w:t>
      </w:r>
    </w:p>
    <w:p w:rsidR="00000000" w:rsidDel="00000000" w:rsidP="00000000" w:rsidRDefault="00000000" w:rsidRPr="00000000" w14:paraId="00000017">
      <w:pPr>
        <w:rPr>
          <w:b w:val="1"/>
          <w:bCs w:val="1"/>
        </w:rPr>
      </w:pPr>
      <w:r w:rsidDel="00000000" w:rsidR="00000000" w:rsidRPr="00000000">
        <w:rPr>
          <w:b w:val="1"/>
          <w:bCs w:val="1"/>
          <w:rtl w:val="0"/>
        </w:rPr>
        <w:t xml:space="preserve">6. Review, Payment &amp; Administration</w:t>
      </w:r>
    </w:p>
    <w:p w:rsidR="00000000" w:rsidDel="00000000" w:rsidP="00000000" w:rsidRDefault="00000000" w:rsidRPr="00000000" w14:paraId="00000018">
      <w:pPr>
        <w:numPr>
          <w:ilvl w:val="0"/>
          <w:numId w:val="6"/>
        </w:numPr>
        <w:ind w:left="720" w:hanging="360"/>
        <w:rPr/>
      </w:pPr>
      <w:r w:rsidDel="00000000" w:rsidR="00000000" w:rsidRPr="00000000">
        <w:rPr>
          <w:rtl w:val="0"/>
        </w:rPr>
        <w:t xml:space="preserve">All reimbursement requests are subject to review for compliance with this policy, MMC Bylaws, and approved financial procedures.</w:t>
      </w:r>
    </w:p>
    <w:p w:rsidR="00000000" w:rsidDel="00000000" w:rsidP="00000000" w:rsidRDefault="00000000" w:rsidRPr="00000000" w14:paraId="00000019">
      <w:pPr>
        <w:numPr>
          <w:ilvl w:val="0"/>
          <w:numId w:val="6"/>
        </w:numPr>
        <w:ind w:left="720" w:hanging="360"/>
        <w:rPr/>
      </w:pPr>
      <w:r w:rsidDel="00000000" w:rsidR="00000000" w:rsidRPr="00000000">
        <w:rPr>
          <w:rtl w:val="0"/>
        </w:rPr>
        <w:t xml:space="preserve">The Board of Directors is responsible for administering this policy.</w:t>
      </w:r>
    </w:p>
    <w:p w:rsidR="00000000" w:rsidDel="00000000" w:rsidP="00000000" w:rsidRDefault="00000000" w:rsidRPr="00000000" w14:paraId="0000001A">
      <w:pPr>
        <w:rPr>
          <w:b w:val="1"/>
          <w:bCs w:val="1"/>
        </w:rPr>
      </w:pPr>
      <w:r w:rsidDel="00000000" w:rsidR="00000000" w:rsidRPr="00000000">
        <w:rPr>
          <w:b w:val="1"/>
          <w:bCs w:val="1"/>
          <w:rtl w:val="0"/>
        </w:rPr>
        <w:t xml:space="preserve">7. Policy Authority</w:t>
      </w:r>
    </w:p>
    <w:p w:rsidR="00000000" w:rsidDel="00000000" w:rsidP="00000000" w:rsidRDefault="00000000" w:rsidRPr="00000000" w14:paraId="0000001B">
      <w:pPr>
        <w:numPr>
          <w:ilvl w:val="0"/>
          <w:numId w:val="7"/>
        </w:numPr>
        <w:ind w:left="720" w:hanging="360"/>
        <w:rPr/>
      </w:pPr>
      <w:r w:rsidDel="00000000" w:rsidR="00000000" w:rsidRPr="00000000">
        <w:rPr>
          <w:rtl w:val="0"/>
        </w:rPr>
        <w:t xml:space="preserve">This policy operates in conjunction with the MMC Bylaws. In the event of a conflict, the </w:t>
      </w:r>
      <w:r w:rsidDel="00000000" w:rsidR="00000000" w:rsidRPr="00000000">
        <w:rPr>
          <w:b w:val="1"/>
          <w:bCs w:val="1"/>
          <w:rtl w:val="0"/>
        </w:rPr>
        <w:t xml:space="preserve">Bylaws shall take precedence</w:t>
      </w:r>
      <w:r w:rsidDel="00000000" w:rsidR="00000000" w:rsidRPr="00000000">
        <w:rPr>
          <w:rtl w:val="0"/>
        </w:rPr>
        <w:t xml:space="preserve">.</w:t>
      </w:r>
    </w:p>
    <w:p w:rsidR="00000000" w:rsidDel="00000000" w:rsidP="00000000" w:rsidRDefault="00000000" w:rsidRPr="00000000" w14:paraId="0000001C">
      <w:pPr>
        <w:numPr>
          <w:ilvl w:val="0"/>
          <w:numId w:val="7"/>
        </w:numPr>
        <w:ind w:left="720" w:hanging="360"/>
        <w:rPr/>
      </w:pPr>
      <w:r w:rsidDel="00000000" w:rsidR="00000000" w:rsidRPr="00000000">
        <w:rPr>
          <w:rtl w:val="0"/>
        </w:rPr>
        <w:t xml:space="preserve">The Board of Directors retains authority to grant exceptions or amend this policy as needed.</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C7E2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C7E2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C7E2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C7E2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C7E2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C7E2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C7E2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C7E2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C7E2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C7E2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C7E2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C7E2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C7E2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C7E2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C7E2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C7E2D"/>
    <w:rPr>
      <w:i w:val="1"/>
      <w:iCs w:val="1"/>
      <w:color w:val="404040" w:themeColor="text1" w:themeTint="0000BF"/>
    </w:rPr>
  </w:style>
  <w:style w:type="paragraph" w:styleId="ListParagraph">
    <w:name w:val="List Paragraph"/>
    <w:basedOn w:val="Normal"/>
    <w:uiPriority w:val="34"/>
    <w:qFormat w:val="1"/>
    <w:rsid w:val="00BC7E2D"/>
    <w:pPr>
      <w:ind w:left="720"/>
      <w:contextualSpacing w:val="1"/>
    </w:pPr>
  </w:style>
  <w:style w:type="character" w:styleId="IntenseEmphasis">
    <w:name w:val="Intense Emphasis"/>
    <w:basedOn w:val="DefaultParagraphFont"/>
    <w:uiPriority w:val="21"/>
    <w:qFormat w:val="1"/>
    <w:rsid w:val="00BC7E2D"/>
    <w:rPr>
      <w:i w:val="1"/>
      <w:iCs w:val="1"/>
      <w:color w:val="0f4761" w:themeColor="accent1" w:themeShade="0000BF"/>
    </w:rPr>
  </w:style>
  <w:style w:type="paragraph" w:styleId="IntenseQuote">
    <w:name w:val="Intense Quote"/>
    <w:basedOn w:val="Normal"/>
    <w:next w:val="Normal"/>
    <w:link w:val="IntenseQuoteChar"/>
    <w:uiPriority w:val="30"/>
    <w:qFormat w:val="1"/>
    <w:rsid w:val="00BC7E2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C7E2D"/>
    <w:rPr>
      <w:i w:val="1"/>
      <w:iCs w:val="1"/>
      <w:color w:val="0f4761" w:themeColor="accent1" w:themeShade="0000BF"/>
    </w:rPr>
  </w:style>
  <w:style w:type="character" w:styleId="IntenseReference">
    <w:name w:val="Intense Reference"/>
    <w:basedOn w:val="DefaultParagraphFont"/>
    <w:uiPriority w:val="32"/>
    <w:qFormat w:val="1"/>
    <w:rsid w:val="00BC7E2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3DSjoq31GzpY6Jt+vNhUW9gXkQ==">CgMxLjA4AHIhMVg1MmxlZ3NIcGdQVEJiLWtFeksybldMMUJoWWlmRld5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2026-01-07T22:59:00Z</dcterms:created>
  <dc:creator>Goerdt, Tim (DI SW GS&amp;CS AM GCO PRAC OPS-ARCH)</dc:creator>
</cp:coreProperties>
</file>